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40" w:rsidRPr="00F61DB7" w:rsidRDefault="00216DAA" w:rsidP="00CE6240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en-AU"/>
        </w:rPr>
      </w:pPr>
      <w:r w:rsidRPr="00F61DB7">
        <w:rPr>
          <w:rFonts w:ascii="Times New Roman" w:hAnsi="Times New Roman" w:cs="Times New Roman"/>
          <w:b/>
          <w:sz w:val="30"/>
          <w:szCs w:val="30"/>
          <w:lang w:val="en-AU"/>
        </w:rPr>
        <w:t>HƯỚNG DẪN SỬ DỤNG RF LATEX</w:t>
      </w:r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phiến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ngưng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latex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nhanh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xác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tính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in- vitro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1DB7">
        <w:rPr>
          <w:rFonts w:ascii="Times New Roman" w:hAnsi="Times New Roman" w:cs="Times New Roman"/>
          <w:b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RF)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huyết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thanh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pha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loãng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phát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hiện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b/>
          <w:sz w:val="24"/>
          <w:szCs w:val="24"/>
        </w:rPr>
        <w:t>khớp</w:t>
      </w:r>
      <w:proofErr w:type="spellEnd"/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 xml:space="preserve">CƠ SỞ &amp; TRIỆU CHỨNG </w:t>
      </w:r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rối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loạn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</w:t>
      </w:r>
      <w:r w:rsidR="00A627D1" w:rsidRPr="00F61DB7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tri</w:t>
      </w:r>
      <w:bookmarkStart w:id="0" w:name="_GoBack"/>
      <w:bookmarkEnd w:id="0"/>
      <w:r w:rsidRPr="00F61DB7">
        <w:rPr>
          <w:rFonts w:ascii="Times New Roman" w:hAnsi="Times New Roman" w:cs="Times New Roman"/>
          <w:sz w:val="24"/>
          <w:szCs w:val="24"/>
        </w:rPr>
        <w:t>ển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. 'RF'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chống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>.</w:t>
      </w: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>NGUYÊN TẮC:</w:t>
      </w:r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Polystyrene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globulin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lgG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latex,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ngưng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="001D1FAA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AA"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="001D1FAA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FAA"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ngưng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latex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trơn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đều</w:t>
      </w:r>
      <w:proofErr w:type="spellEnd"/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 xml:space="preserve">Ý NGHĨA CHẨN ĐOÁN </w:t>
      </w:r>
    </w:p>
    <w:p w:rsidR="00216DAA" w:rsidRPr="00F61DB7" w:rsidRDefault="001D1F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vắng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sốt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; do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sốt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</w:t>
      </w:r>
      <w:r w:rsidR="00A627D1" w:rsidRPr="00F61DB7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A627D1" w:rsidRPr="00F61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7D1" w:rsidRPr="00F61DB7">
        <w:rPr>
          <w:rFonts w:ascii="Times New Roman" w:hAnsi="Times New Roman" w:cs="Times New Roman"/>
          <w:sz w:val="24"/>
          <w:szCs w:val="24"/>
        </w:rPr>
        <w:t>X</w:t>
      </w:r>
      <w:r w:rsidRPr="00F61DB7">
        <w:rPr>
          <w:rFonts w:ascii="Times New Roman" w:hAnsi="Times New Roman" w:cs="Times New Roman"/>
          <w:sz w:val="24"/>
          <w:szCs w:val="24"/>
        </w:rPr>
        <w:t>ét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627D1" w:rsidRPr="00F61DB7">
        <w:rPr>
          <w:rFonts w:ascii="Times New Roman" w:hAnsi="Times New Roman" w:cs="Times New Roman"/>
          <w:sz w:val="24"/>
          <w:szCs w:val="24"/>
        </w:rPr>
        <w:t xml:space="preserve"> Latex</w:t>
      </w:r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latex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lâm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khác.Yếu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, SLE,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Reiter,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gút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khớp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vẩy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1DB7">
        <w:rPr>
          <w:rFonts w:ascii="Times New Roman" w:hAnsi="Times New Roman" w:cs="Times New Roman"/>
          <w:sz w:val="24"/>
          <w:szCs w:val="24"/>
        </w:rPr>
        <w:t>nế</w:t>
      </w:r>
      <w:r w:rsidR="00E8168B" w:rsidRPr="00F61DB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>,....</w:t>
      </w:r>
      <w:proofErr w:type="gram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K</w:t>
      </w:r>
      <w:r w:rsidRPr="00F61DB7">
        <w:rPr>
          <w:rFonts w:ascii="Times New Roman" w:hAnsi="Times New Roman" w:cs="Times New Roman"/>
          <w:sz w:val="24"/>
          <w:szCs w:val="24"/>
        </w:rPr>
        <w:t>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gồ</w:t>
      </w:r>
      <w:r w:rsidR="00E8168B" w:rsidRPr="00F61DB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viêm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xơ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proofErr w:type="gramStart"/>
      <w:r w:rsidR="00E8168B" w:rsidRPr="00F61DB7">
        <w:rPr>
          <w:rFonts w:ascii="Times New Roman" w:hAnsi="Times New Roman" w:cs="Times New Roman"/>
          <w:sz w:val="24"/>
          <w:szCs w:val="24"/>
        </w:rPr>
        <w:t>lympho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>THÀNH PHẦN THUỐC THỬ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0"/>
        <w:gridCol w:w="5300"/>
      </w:tblGrid>
      <w:tr w:rsidR="00216DAA" w:rsidRPr="00F61DB7" w:rsidTr="0097370C">
        <w:trPr>
          <w:trHeight w:val="818"/>
        </w:trPr>
        <w:tc>
          <w:tcPr>
            <w:tcW w:w="3330" w:type="dxa"/>
          </w:tcPr>
          <w:p w:rsidR="00216DAA" w:rsidRPr="00F61DB7" w:rsidRDefault="00216DAA" w:rsidP="0097370C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2"/>
          </w:tcPr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chai /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25 test / 50 test / 100 test</w:t>
            </w:r>
          </w:p>
        </w:tc>
      </w:tr>
      <w:tr w:rsidR="00216DAA" w:rsidRPr="00F61DB7" w:rsidTr="0097370C">
        <w:trPr>
          <w:trHeight w:val="2175"/>
        </w:trPr>
        <w:tc>
          <w:tcPr>
            <w:tcW w:w="4050" w:type="dxa"/>
            <w:gridSpan w:val="2"/>
            <w:tcBorders>
              <w:right w:val="nil"/>
            </w:tcBorders>
          </w:tcPr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latex </w:t>
            </w:r>
          </w:p>
          <w:p w:rsidR="00216DAA" w:rsidRPr="00F61DB7" w:rsidRDefault="00216DAA" w:rsidP="00E8168B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Huyết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soát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75C1D" wp14:editId="2755AA1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137795</wp:posOffset>
                      </wp:positionV>
                      <wp:extent cx="104775" cy="581025"/>
                      <wp:effectExtent l="0" t="0" r="66675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81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5E1C4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58.85pt;margin-top:10.85pt;width: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" adj="325" strokecolor="black [3200]" strokeweight=".5pt">
                      <v:stroke joinstyle="miter"/>
                    </v:shape>
                  </w:pict>
                </mc:Fallback>
              </mc:AlternateContent>
            </w:r>
            <w:r w:rsidR="00E8168B" w:rsidRPr="00F61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Phiến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</w:p>
          <w:p w:rsidR="00216DAA" w:rsidRPr="00F61DB7" w:rsidRDefault="00E8168B" w:rsidP="0097370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trộn</w:t>
            </w:r>
            <w:proofErr w:type="spellEnd"/>
          </w:p>
          <w:p w:rsidR="00216DAA" w:rsidRPr="00F61DB7" w:rsidRDefault="00E8168B" w:rsidP="0097370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nhựa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giọt</w:t>
            </w:r>
            <w:proofErr w:type="spellEnd"/>
          </w:p>
          <w:p w:rsidR="00216DAA" w:rsidRPr="00F61DB7" w:rsidRDefault="00E8168B" w:rsidP="0097370C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giọt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DAA" w:rsidRPr="00F61DB7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5300" w:type="dxa"/>
            <w:tcBorders>
              <w:left w:val="nil"/>
            </w:tcBorders>
          </w:tcPr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DAA" w:rsidRPr="00F61DB7" w:rsidRDefault="00216DAA" w:rsidP="0097370C">
            <w:pPr>
              <w:shd w:val="clear" w:color="auto" w:fill="FFFFFF" w:themeFill="background1"/>
              <w:spacing w:after="0" w:line="240" w:lineRule="auto"/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6DAA" w:rsidRPr="00F61DB7" w:rsidRDefault="00216DAA" w:rsidP="0097370C">
            <w:pPr>
              <w:shd w:val="clear" w:color="auto" w:fill="FFFFFF" w:themeFill="background1"/>
              <w:spacing w:after="120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DAA" w:rsidRPr="00F61DB7" w:rsidRDefault="00216DAA" w:rsidP="0097370C">
            <w:pPr>
              <w:shd w:val="clear" w:color="auto" w:fill="FFFFFF" w:themeFill="background1"/>
              <w:spacing w:after="120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thước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DB7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</w:p>
        </w:tc>
      </w:tr>
    </w:tbl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>BẢO QUẢN VÀ ỔN ĐỊNH:</w:t>
      </w: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Latex</w:t>
      </w:r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nhãn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ở </w:t>
      </w:r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2-8ºC</w:t>
      </w:r>
      <w:r w:rsidRPr="00F61DB7">
        <w:rPr>
          <w:rFonts w:ascii="Times New Roman" w:hAnsi="Times New Roman" w:cs="Times New Roman"/>
          <w:sz w:val="24"/>
          <w:szCs w:val="24"/>
        </w:rPr>
        <w:t>.</w:t>
      </w:r>
      <w:r w:rsidR="00E8168B" w:rsidRPr="00F61DB7">
        <w:rPr>
          <w:rFonts w:ascii="Times New Roman" w:hAnsi="Times New Roman" w:cs="Times New Roman"/>
          <w:sz w:val="24"/>
          <w:szCs w:val="24"/>
        </w:rPr>
        <w:t xml:space="preserve"> KHÔNG</w:t>
      </w:r>
      <w:r w:rsidR="00A627D1" w:rsidRPr="00F61DB7">
        <w:rPr>
          <w:rFonts w:ascii="Times New Roman" w:hAnsi="Times New Roman" w:cs="Times New Roman"/>
          <w:sz w:val="24"/>
          <w:szCs w:val="24"/>
        </w:rPr>
        <w:t xml:space="preserve"> LÀM</w:t>
      </w:r>
      <w:r w:rsidR="00E8168B" w:rsidRPr="00F61DB7">
        <w:rPr>
          <w:rFonts w:ascii="Times New Roman" w:hAnsi="Times New Roman" w:cs="Times New Roman"/>
          <w:sz w:val="24"/>
          <w:szCs w:val="24"/>
        </w:rPr>
        <w:t xml:space="preserve"> ĐÔNG ĐÁ</w:t>
      </w: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>MẪU XÉT NGHIỆM:</w:t>
      </w:r>
    </w:p>
    <w:p w:rsidR="00216DAA" w:rsidRPr="00F61DB7" w:rsidRDefault="00216DAA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DB7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</w:rPr>
        <w:t xml:space="preserve"> ở -20</w:t>
      </w:r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ºC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trong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4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tuần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Huyết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tương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không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nên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được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sử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dụng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vì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fibrinogen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có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thể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gây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ra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sự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ngưng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kết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không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đặc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hiệu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của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các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phần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tử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latex.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Không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sử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dụng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lipid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huyết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thanh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tan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máu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hoặc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bị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nhiễm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bẩn</w:t>
      </w:r>
      <w:proofErr w:type="spellEnd"/>
      <w:r w:rsidR="00E8168B" w:rsidRPr="00F61DB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216DAA" w:rsidRPr="00F61DB7" w:rsidRDefault="00216DAA" w:rsidP="0021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DAA" w:rsidRPr="00F61DB7" w:rsidRDefault="00216DAA" w:rsidP="00216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 xml:space="preserve"> QUY TRÌNH </w:t>
      </w: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(A) XÉT NGHIỆM ĐỊNH TÍNH (XÉT NGHIỆM SÀNG LỌC):</w:t>
      </w:r>
    </w:p>
    <w:p w:rsidR="00216DAA" w:rsidRPr="00F61DB7" w:rsidRDefault="00216DAA" w:rsidP="00216DA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</w:p>
    <w:p w:rsidR="00216DAA" w:rsidRPr="00F61DB7" w:rsidRDefault="00E8168B" w:rsidP="00216DA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Lắc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lọ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Latex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nhẹ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nhàng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216DAA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DAA" w:rsidRPr="00F61DB7" w:rsidRDefault="00216DAA" w:rsidP="00216DA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khoanh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phiến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DAA" w:rsidRPr="00F61DB7" w:rsidRDefault="00216DAA" w:rsidP="00216DA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25µl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phiến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DAA" w:rsidRPr="00F61DB7" w:rsidRDefault="00216DAA" w:rsidP="00216DA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Trộn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latex.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nhỉ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giọt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thẳng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hỗn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latex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Trải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khuấy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DAA" w:rsidRPr="00F61DB7" w:rsidRDefault="00216DAA" w:rsidP="00216DAA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A0660" wp14:editId="2A834D32">
                <wp:simplePos x="0" y="0"/>
                <wp:positionH relativeFrom="column">
                  <wp:posOffset>209550</wp:posOffset>
                </wp:positionH>
                <wp:positionV relativeFrom="paragraph">
                  <wp:posOffset>466725</wp:posOffset>
                </wp:positionV>
                <wp:extent cx="3781425" cy="1228725"/>
                <wp:effectExtent l="0" t="0" r="28575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2287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DAA" w:rsidRPr="00553DFD" w:rsidRDefault="00216DAA" w:rsidP="00216DA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553DFD">
                              <w:rPr>
                                <w:sz w:val="24"/>
                              </w:rPr>
                              <w:t>QUY TRÌNH TỔNG QUÁT</w:t>
                            </w:r>
                          </w:p>
                          <w:p w:rsidR="00216DAA" w:rsidRPr="00553DFD" w:rsidRDefault="00216DAA" w:rsidP="00216DAA">
                            <w:pPr>
                              <w:spacing w:after="0" w:line="240" w:lineRule="auto"/>
                              <w:jc w:val="center"/>
                            </w:pPr>
                            <w:r w:rsidRPr="00553DFD">
                              <w:t xml:space="preserve">25µl </w:t>
                            </w:r>
                            <w:proofErr w:type="spellStart"/>
                            <w:r w:rsidRPr="00553DFD">
                              <w:t>mẫu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xét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nghiệm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hoặc</w:t>
                            </w:r>
                            <w:proofErr w:type="spellEnd"/>
                            <w:r w:rsidRPr="00553DFD">
                              <w:t xml:space="preserve"> dung </w:t>
                            </w:r>
                            <w:proofErr w:type="spellStart"/>
                            <w:r w:rsidRPr="00553DFD">
                              <w:t>dịch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</w:p>
                          <w:p w:rsidR="00216DAA" w:rsidRPr="00553DFD" w:rsidRDefault="00216DAA" w:rsidP="00216DAA">
                            <w:pPr>
                              <w:spacing w:after="0" w:line="240" w:lineRule="auto"/>
                              <w:jc w:val="center"/>
                            </w:pPr>
                            <w:r w:rsidRPr="00553DFD">
                              <w:t>+</w:t>
                            </w:r>
                          </w:p>
                          <w:p w:rsidR="00216DAA" w:rsidRPr="00553DFD" w:rsidRDefault="00216DAA" w:rsidP="00216DAA">
                            <w:pPr>
                              <w:spacing w:after="0" w:line="240" w:lineRule="auto"/>
                              <w:jc w:val="center"/>
                            </w:pPr>
                            <w:r w:rsidRPr="00553DFD">
                              <w:t xml:space="preserve">25µl Dung </w:t>
                            </w:r>
                            <w:proofErr w:type="spellStart"/>
                            <w:r w:rsidRPr="00553DFD">
                              <w:t>dịch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thuốc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thử</w:t>
                            </w:r>
                            <w:proofErr w:type="spellEnd"/>
                            <w:r w:rsidR="00E8168B">
                              <w:t xml:space="preserve"> RF</w:t>
                            </w:r>
                            <w:r w:rsidRPr="00553DFD">
                              <w:t xml:space="preserve"> Latex</w:t>
                            </w:r>
                          </w:p>
                          <w:p w:rsidR="00216DAA" w:rsidRPr="00553DFD" w:rsidRDefault="00216DAA" w:rsidP="00216DA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553DFD">
                              <w:t>Trộn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đều</w:t>
                            </w:r>
                            <w:proofErr w:type="spellEnd"/>
                          </w:p>
                          <w:p w:rsidR="00216DAA" w:rsidRPr="00553DFD" w:rsidRDefault="00216DAA" w:rsidP="00216DA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553DFD">
                              <w:t>Nghiêng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nhẹ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phiến</w:t>
                            </w:r>
                            <w:proofErr w:type="spellEnd"/>
                            <w:r w:rsidRPr="00553DFD">
                              <w:t xml:space="preserve">; </w:t>
                            </w:r>
                            <w:proofErr w:type="spellStart"/>
                            <w:r w:rsidRPr="00553DFD">
                              <w:t>quan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sát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sự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ngưng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kết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trong</w:t>
                            </w:r>
                            <w:proofErr w:type="spellEnd"/>
                            <w:r w:rsidRPr="00553DFD">
                              <w:t xml:space="preserve"> 2 </w:t>
                            </w:r>
                            <w:proofErr w:type="spellStart"/>
                            <w:r w:rsidRPr="00553DFD">
                              <w:t>phút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0660" id="Rectangle 1" o:spid="_x0000_s1026" style="position:absolute;left:0;text-align:left;margin-left:16.5pt;margin-top:36.75pt;width:297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" fillcolor="white [3201]" strokecolor="black [3200]" strokeweight="1.5pt">
                <v:textbox>
                  <w:txbxContent>
                    <w:p w:rsidR="00216DAA" w:rsidRPr="00553DFD" w:rsidRDefault="00216DAA" w:rsidP="00216DA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553DFD">
                        <w:rPr>
                          <w:sz w:val="24"/>
                        </w:rPr>
                        <w:t>QUY TRÌNH TỔNG QUÁT</w:t>
                      </w:r>
                    </w:p>
                    <w:p w:rsidR="00216DAA" w:rsidRPr="00553DFD" w:rsidRDefault="00216DAA" w:rsidP="00216DAA">
                      <w:pPr>
                        <w:spacing w:after="0" w:line="240" w:lineRule="auto"/>
                        <w:jc w:val="center"/>
                      </w:pPr>
                      <w:r w:rsidRPr="00553DFD">
                        <w:t xml:space="preserve">25µl </w:t>
                      </w:r>
                      <w:proofErr w:type="spellStart"/>
                      <w:r w:rsidRPr="00553DFD">
                        <w:t>mẫu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xét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nghiệm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hoặc</w:t>
                      </w:r>
                      <w:proofErr w:type="spellEnd"/>
                      <w:r w:rsidRPr="00553DFD">
                        <w:t xml:space="preserve"> dung </w:t>
                      </w:r>
                      <w:proofErr w:type="spellStart"/>
                      <w:r w:rsidRPr="00553DFD">
                        <w:t>dịch</w:t>
                      </w:r>
                      <w:proofErr w:type="spellEnd"/>
                      <w:r w:rsidRPr="00553DFD">
                        <w:t xml:space="preserve"> </w:t>
                      </w:r>
                    </w:p>
                    <w:p w:rsidR="00216DAA" w:rsidRPr="00553DFD" w:rsidRDefault="00216DAA" w:rsidP="00216DAA">
                      <w:pPr>
                        <w:spacing w:after="0" w:line="240" w:lineRule="auto"/>
                        <w:jc w:val="center"/>
                      </w:pPr>
                      <w:r w:rsidRPr="00553DFD">
                        <w:t>+</w:t>
                      </w:r>
                    </w:p>
                    <w:p w:rsidR="00216DAA" w:rsidRPr="00553DFD" w:rsidRDefault="00216DAA" w:rsidP="00216DAA">
                      <w:pPr>
                        <w:spacing w:after="0" w:line="240" w:lineRule="auto"/>
                        <w:jc w:val="center"/>
                      </w:pPr>
                      <w:r w:rsidRPr="00553DFD">
                        <w:t xml:space="preserve">25µl Dung </w:t>
                      </w:r>
                      <w:proofErr w:type="spellStart"/>
                      <w:r w:rsidRPr="00553DFD">
                        <w:t>dịch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thuốc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thử</w:t>
                      </w:r>
                      <w:proofErr w:type="spellEnd"/>
                      <w:r w:rsidR="00E8168B">
                        <w:t xml:space="preserve"> RF</w:t>
                      </w:r>
                      <w:r w:rsidRPr="00553DFD">
                        <w:t xml:space="preserve"> Latex</w:t>
                      </w:r>
                    </w:p>
                    <w:p w:rsidR="00216DAA" w:rsidRPr="00553DFD" w:rsidRDefault="00216DAA" w:rsidP="00216DAA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553DFD">
                        <w:t>Trộn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đều</w:t>
                      </w:r>
                      <w:proofErr w:type="spellEnd"/>
                    </w:p>
                    <w:p w:rsidR="00216DAA" w:rsidRPr="00553DFD" w:rsidRDefault="00216DAA" w:rsidP="00216DAA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553DFD">
                        <w:t>Nghiêng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nhẹ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phiến</w:t>
                      </w:r>
                      <w:proofErr w:type="spellEnd"/>
                      <w:r w:rsidRPr="00553DFD">
                        <w:t xml:space="preserve">; </w:t>
                      </w:r>
                      <w:proofErr w:type="spellStart"/>
                      <w:r w:rsidRPr="00553DFD">
                        <w:t>quan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sát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sự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ngưng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kết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trong</w:t>
                      </w:r>
                      <w:proofErr w:type="spellEnd"/>
                      <w:r w:rsidRPr="00553DFD">
                        <w:t xml:space="preserve"> 2 </w:t>
                      </w:r>
                      <w:proofErr w:type="spellStart"/>
                      <w:r w:rsidRPr="00553DFD">
                        <w:t>phút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Nghiêng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phiến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nhẹ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nhàng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phiến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quay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rpm.</w:t>
      </w:r>
    </w:p>
    <w:p w:rsidR="00E8168B" w:rsidRPr="00F61DB7" w:rsidRDefault="00E8168B" w:rsidP="00216DAA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 THÍCH KẾT QUẢ:</w:t>
      </w:r>
    </w:p>
    <w:p w:rsidR="00B2763D" w:rsidRPr="00F61DB7" w:rsidRDefault="00E8168B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Ngưng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kết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latex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cho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thấy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mức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RF (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yếu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tố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thấp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khớp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cao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hơn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</w:t>
      </w:r>
      <w:r w:rsidR="00B2763D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IU / ml.</w:t>
      </w:r>
    </w:p>
    <w:p w:rsidR="00E8168B" w:rsidRPr="00F61DB7" w:rsidRDefault="00B2763D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Huyết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thanh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cho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thấy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kết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quả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dương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tính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tron</w:t>
      </w:r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sàng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lọc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thể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tuân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theo</w:t>
      </w:r>
      <w:proofErr w:type="spellEnd"/>
      <w:proofErr w:type="gram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bán</w:t>
      </w:r>
      <w:proofErr w:type="spellEnd"/>
      <w:r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định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lượng</w:t>
      </w:r>
      <w:proofErr w:type="spellEnd"/>
      <w:r w:rsidR="00E8168B" w:rsidRPr="00F61D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16DAA" w:rsidRPr="00F61DB7" w:rsidRDefault="00216DAA" w:rsidP="00216DAA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(B) XÉT NGHIỆM BÁN ĐỊNH LƯỢNG:</w:t>
      </w:r>
    </w:p>
    <w:p w:rsidR="00B2763D" w:rsidRPr="00F61DB7" w:rsidRDefault="00B2763D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loãng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2, 1: 4, 1: 8, 1:16, 1:32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huyết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muối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(0,9%).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proofErr w:type="spellEnd"/>
      <w:proofErr w:type="gram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loãng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ngưng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763D" w:rsidRPr="00F61DB7" w:rsidRDefault="00B2763D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RF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gần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DAA" w:rsidRPr="00F61DB7" w:rsidRDefault="00B2763D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RF (IU / ml.) = (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proofErr w:type="spellEnd"/>
      <w:proofErr w:type="gram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loãng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phản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) x [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nhạy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 IU / ml.)]</w:t>
      </w:r>
    </w:p>
    <w:p w:rsidR="00216DAA" w:rsidRPr="00F61DB7" w:rsidRDefault="00216DAA" w:rsidP="00216D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DAA" w:rsidRPr="00F61DB7" w:rsidRDefault="00216DAA" w:rsidP="00216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DB7">
        <w:rPr>
          <w:rFonts w:ascii="Times New Roman" w:hAnsi="Times New Roman" w:cs="Times New Roman"/>
          <w:b/>
          <w:sz w:val="24"/>
          <w:szCs w:val="24"/>
        </w:rPr>
        <w:t>ĐỘ NHẠY:</w:t>
      </w: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Thuốc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nhạy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63D" w:rsidRPr="00F61DB7">
        <w:rPr>
          <w:rFonts w:ascii="Times New Roman" w:hAnsi="Times New Roman" w:cs="Times New Roman"/>
          <w:sz w:val="24"/>
          <w:szCs w:val="24"/>
        </w:rPr>
        <w:t>8</w:t>
      </w:r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IU/m</w:t>
      </w:r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F61DB7">
        <w:rPr>
          <w:rFonts w:ascii="Times New Roman" w:hAnsi="Times New Roman" w:cs="Times New Roman"/>
          <w:sz w:val="24"/>
          <w:szCs w:val="24"/>
        </w:rPr>
        <w:t>.</w:t>
      </w: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6DAA" w:rsidRPr="00F61DB7" w:rsidRDefault="00216DAA" w:rsidP="00216D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 THỨC KIỂM SOÁT CHẤT LƯỢNG:</w:t>
      </w:r>
    </w:p>
    <w:p w:rsidR="00216DAA" w:rsidRPr="00F61DB7" w:rsidRDefault="00216DAA" w:rsidP="00216DAA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soát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âm</w:t>
      </w:r>
      <w:proofErr w:type="spellEnd"/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huyết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763D"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B2763D" w:rsidRPr="00F61DB7" w:rsidRDefault="00B2763D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THẬN TRỌNG</w:t>
      </w:r>
    </w:p>
    <w:p w:rsidR="00B2763D" w:rsidRPr="00F61DB7" w:rsidRDefault="00B2763D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khô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hỗn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proofErr w:type="gram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763D" w:rsidRPr="00F61DB7" w:rsidRDefault="00B2763D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DAA" w:rsidRPr="00F61DB7" w:rsidRDefault="00B2763D" w:rsidP="00B276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chẩn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đoán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chẩn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đoán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nhưng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sàng</w:t>
      </w:r>
      <w:proofErr w:type="spellEnd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1DB7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</w:p>
    <w:p w:rsidR="00216DAA" w:rsidRPr="00F61DB7" w:rsidRDefault="00216DAA" w:rsidP="00B2763D">
      <w:pPr>
        <w:shd w:val="clear" w:color="auto" w:fill="FFFFFF" w:themeFill="background1"/>
        <w:spacing w:after="0"/>
        <w:ind w:right="-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6DAA" w:rsidRPr="00F61DB7" w:rsidRDefault="00216DAA" w:rsidP="00216DAA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6DAA" w:rsidRPr="00F61DB7" w:rsidRDefault="00216DAA" w:rsidP="00216DAA">
      <w:pPr>
        <w:rPr>
          <w:sz w:val="24"/>
          <w:szCs w:val="24"/>
        </w:rPr>
      </w:pPr>
    </w:p>
    <w:p w:rsidR="00F0660B" w:rsidRPr="00F61DB7" w:rsidRDefault="00F0660B">
      <w:pPr>
        <w:rPr>
          <w:sz w:val="24"/>
          <w:szCs w:val="24"/>
        </w:rPr>
      </w:pPr>
    </w:p>
    <w:sectPr w:rsidR="00F0660B" w:rsidRPr="00F61DB7" w:rsidSect="00F61DB7">
      <w:pgSz w:w="12240" w:h="15840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C069C"/>
    <w:multiLevelType w:val="hybridMultilevel"/>
    <w:tmpl w:val="470E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D6AE8"/>
    <w:multiLevelType w:val="hybridMultilevel"/>
    <w:tmpl w:val="38B4A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40"/>
    <w:rsid w:val="001D1FAA"/>
    <w:rsid w:val="00216DAA"/>
    <w:rsid w:val="00A627D1"/>
    <w:rsid w:val="00B2763D"/>
    <w:rsid w:val="00CE6240"/>
    <w:rsid w:val="00E8168B"/>
    <w:rsid w:val="00F0660B"/>
    <w:rsid w:val="00F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EA2360-983E-4564-B1E4-DB17DD8F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2020-03-14T08:48:00Z</cp:lastPrinted>
  <dcterms:created xsi:type="dcterms:W3CDTF">2020-01-13T02:47:00Z</dcterms:created>
  <dcterms:modified xsi:type="dcterms:W3CDTF">2020-03-14T08:49:00Z</dcterms:modified>
</cp:coreProperties>
</file>