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58" w:rsidRPr="00576DD1" w:rsidRDefault="00EC3C58" w:rsidP="00EC3C58">
      <w:pPr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8"/>
          <w:szCs w:val="26"/>
          <w:lang w:val="en-AU"/>
        </w:rPr>
      </w:pPr>
      <w:r w:rsidRPr="00576DD1">
        <w:rPr>
          <w:rFonts w:ascii="Times New Roman" w:hAnsi="Times New Roman" w:cs="Times New Roman"/>
          <w:b/>
          <w:sz w:val="28"/>
          <w:szCs w:val="26"/>
          <w:lang w:val="en-AU"/>
        </w:rPr>
        <w:t xml:space="preserve">HƯỚNG DẪN SỬ DỤNG </w:t>
      </w:r>
      <w:r>
        <w:rPr>
          <w:rFonts w:ascii="Times New Roman" w:hAnsi="Times New Roman" w:cs="Times New Roman"/>
          <w:b/>
          <w:sz w:val="28"/>
          <w:szCs w:val="26"/>
          <w:lang w:val="en-AU"/>
        </w:rPr>
        <w:t xml:space="preserve">CRP </w:t>
      </w:r>
    </w:p>
    <w:p w:rsidR="00EC3C58" w:rsidRPr="00576DD1" w:rsidRDefault="00EC3C58" w:rsidP="00EC3C58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Xét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phiến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ngưng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kết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latex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nhanh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bán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in- vitro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6DD1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576D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viêm</w:t>
      </w:r>
      <w:proofErr w:type="spellEnd"/>
      <w:r w:rsidR="00580CD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0CDF">
        <w:rPr>
          <w:rFonts w:ascii="Times New Roman" w:hAnsi="Times New Roman" w:cs="Times New Roman"/>
          <w:b/>
          <w:sz w:val="26"/>
          <w:szCs w:val="26"/>
        </w:rPr>
        <w:t>nhiễm</w:t>
      </w:r>
      <w:proofErr w:type="spellEnd"/>
    </w:p>
    <w:p w:rsidR="00EC3C58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 xml:space="preserve">Ý NGHĨA CHẨN ĐOÁN </w:t>
      </w:r>
    </w:p>
    <w:p w:rsidR="00580CDF" w:rsidRDefault="00580CDF" w:rsidP="00580C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CDF">
        <w:rPr>
          <w:rFonts w:ascii="Times New Roman" w:hAnsi="Times New Roman" w:cs="Times New Roman"/>
          <w:sz w:val="26"/>
          <w:szCs w:val="26"/>
        </w:rPr>
        <w:t xml:space="preserve">C-Reactive Protein (CRP)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globulin alpha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thườ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viêm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CRP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0CDF">
        <w:rPr>
          <w:rFonts w:ascii="Times New Roman" w:hAnsi="Times New Roman" w:cs="Times New Roman"/>
          <w:sz w:val="26"/>
          <w:szCs w:val="26"/>
        </w:rPr>
        <w:t xml:space="preserve">protein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tủ</w:t>
      </w:r>
      <w:r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soma </w:t>
      </w:r>
      <w:r w:rsidRPr="00580CDF">
        <w:rPr>
          <w:rFonts w:ascii="Times New Roman" w:hAnsi="Times New Roman" w:cs="Times New Roman"/>
          <w:sz w:val="26"/>
          <w:szCs w:val="26"/>
        </w:rPr>
        <w:t>C-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Carbonhydrate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phế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CRP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thườ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loạt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trạ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580CDF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hủ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CRP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hữ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chẩn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má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Pr="00580CDF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CRP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nhồi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thuậ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CRP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thuậ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3C58" w:rsidRPr="00576DD1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3C58" w:rsidRPr="00B85131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NGUYÊN TẮC:</w:t>
      </w:r>
    </w:p>
    <w:p w:rsidR="00EC3C58" w:rsidRDefault="00580CDF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80C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latex</w:t>
      </w:r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bằ</w:t>
      </w:r>
      <w:r w:rsidRPr="00580CDF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CRP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0CD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chứ</w:t>
      </w:r>
      <w:r w:rsidRPr="00580CDF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CRP</w:t>
      </w:r>
      <w:r w:rsidR="00EC3C58" w:rsidRPr="0058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latex,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Nế</w:t>
      </w:r>
      <w:r w:rsidRPr="00580CDF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580CDF">
        <w:rPr>
          <w:rFonts w:ascii="Times New Roman" w:hAnsi="Times New Roman" w:cs="Times New Roman"/>
          <w:sz w:val="26"/>
          <w:szCs w:val="26"/>
        </w:rPr>
        <w:t xml:space="preserve"> CRP</w:t>
      </w:r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ngưng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EC3C58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C58" w:rsidRPr="00580CDF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EC3C58" w:rsidRPr="00B85131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C58" w:rsidRPr="00B85131" w:rsidRDefault="00EC3C58" w:rsidP="00EC3C58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THÀNH PHẦN THUỐC THỬ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20"/>
        <w:gridCol w:w="5300"/>
      </w:tblGrid>
      <w:tr w:rsidR="00EC3C58" w:rsidRPr="00B85131" w:rsidTr="00960FDE">
        <w:trPr>
          <w:trHeight w:val="818"/>
        </w:trPr>
        <w:tc>
          <w:tcPr>
            <w:tcW w:w="3330" w:type="dxa"/>
          </w:tcPr>
          <w:p w:rsidR="00EC3C58" w:rsidRPr="00B85131" w:rsidRDefault="00EC3C58" w:rsidP="00960FDE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20" w:type="dxa"/>
            <w:gridSpan w:val="2"/>
          </w:tcPr>
          <w:p w:rsidR="00EC3C58" w:rsidRPr="00B85131" w:rsidRDefault="00EC3C58" w:rsidP="00960FDE">
            <w:pPr>
              <w:shd w:val="clear" w:color="auto" w:fill="FFFFFF" w:themeFill="background1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chai /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3C58" w:rsidRPr="00B85131" w:rsidRDefault="00EC3C58" w:rsidP="00960FDE">
            <w:pPr>
              <w:shd w:val="clear" w:color="auto" w:fill="FFFFFF" w:themeFill="background1"/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25 test / 50 test / 100 test</w:t>
            </w:r>
          </w:p>
        </w:tc>
      </w:tr>
      <w:tr w:rsidR="00EC3C58" w:rsidRPr="00B85131" w:rsidTr="001A2101">
        <w:trPr>
          <w:trHeight w:val="2175"/>
        </w:trPr>
        <w:tc>
          <w:tcPr>
            <w:tcW w:w="4050" w:type="dxa"/>
            <w:gridSpan w:val="2"/>
            <w:tcBorders>
              <w:right w:val="nil"/>
            </w:tcBorders>
          </w:tcPr>
          <w:p w:rsidR="00EC3C58" w:rsidRPr="00B85131" w:rsidRDefault="00EC3C58" w:rsidP="00960FDE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thử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latex </w:t>
            </w:r>
          </w:p>
          <w:p w:rsidR="00EC3C58" w:rsidRPr="00B85131" w:rsidRDefault="00EC3C58" w:rsidP="00960FDE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  <w:p w:rsidR="00EC3C58" w:rsidRPr="00B85131" w:rsidRDefault="00EC3C58" w:rsidP="00960FDE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kiể</w:t>
            </w:r>
            <w:r w:rsidR="001337FA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3C58" w:rsidRPr="00B85131" w:rsidRDefault="00EC3C58" w:rsidP="00960FDE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88379" wp14:editId="4CE89B43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137795</wp:posOffset>
                      </wp:positionV>
                      <wp:extent cx="104775" cy="581025"/>
                      <wp:effectExtent l="0" t="0" r="66675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581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60D6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58.85pt;margin-top:10.85pt;width:8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" adj="325" strokecolor="black [3200]" strokeweight=".5pt">
                      <v:stroke joinstyle="miter"/>
                    </v:shape>
                  </w:pict>
                </mc:Fallback>
              </mc:AlternateContent>
            </w: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Phiến</w:t>
            </w:r>
            <w:proofErr w:type="spellEnd"/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  <w:p w:rsidR="00EC3C58" w:rsidRPr="00B85131" w:rsidRDefault="001337FA" w:rsidP="00960FDE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>trộn</w:t>
            </w:r>
            <w:proofErr w:type="spellEnd"/>
          </w:p>
          <w:p w:rsidR="00EC3C58" w:rsidRPr="00B85131" w:rsidRDefault="00EC3C58" w:rsidP="00960FDE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="001337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337FA">
              <w:rPr>
                <w:rFonts w:ascii="Times New Roman" w:hAnsi="Times New Roman" w:cs="Times New Roman"/>
                <w:sz w:val="26"/>
                <w:szCs w:val="26"/>
              </w:rPr>
              <w:t>giọt</w:t>
            </w:r>
            <w:proofErr w:type="spellEnd"/>
          </w:p>
          <w:p w:rsidR="00EC3C58" w:rsidRPr="00B85131" w:rsidRDefault="001337FA" w:rsidP="00960FDE">
            <w:pPr>
              <w:shd w:val="clear" w:color="auto" w:fill="FFFFFF" w:themeFill="background1"/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>giọt</w:t>
            </w:r>
            <w:proofErr w:type="spellEnd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C3C58" w:rsidRPr="00B85131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bookmarkEnd w:id="0"/>
            <w:proofErr w:type="spellEnd"/>
          </w:p>
        </w:tc>
        <w:tc>
          <w:tcPr>
            <w:tcW w:w="5300" w:type="dxa"/>
            <w:tcBorders>
              <w:left w:val="nil"/>
            </w:tcBorders>
          </w:tcPr>
          <w:p w:rsidR="00EC3C58" w:rsidRPr="00B85131" w:rsidRDefault="00EC3C58" w:rsidP="00EC3C58">
            <w:pPr>
              <w:shd w:val="clear" w:color="auto" w:fill="FFFFFF" w:themeFill="background1"/>
              <w:spacing w:after="0" w:line="240" w:lineRule="auto"/>
              <w:ind w:firstLine="7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C3C58" w:rsidRPr="00B85131" w:rsidRDefault="00EC3C58" w:rsidP="00EC3C58">
            <w:pPr>
              <w:shd w:val="clear" w:color="auto" w:fill="FFFFFF" w:themeFill="background1"/>
              <w:spacing w:after="0" w:line="240" w:lineRule="auto"/>
              <w:ind w:firstLine="7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C3C58" w:rsidRPr="00B85131" w:rsidRDefault="00EC3C58" w:rsidP="00EC3C58">
            <w:pPr>
              <w:shd w:val="clear" w:color="auto" w:fill="FFFFFF" w:themeFill="background1"/>
              <w:spacing w:after="0" w:line="240" w:lineRule="auto"/>
              <w:ind w:firstLine="7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C3C58" w:rsidRDefault="00EC3C58" w:rsidP="00EC3C58">
            <w:pPr>
              <w:shd w:val="clear" w:color="auto" w:fill="FFFFFF" w:themeFill="background1"/>
              <w:spacing w:after="120"/>
              <w:ind w:right="6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C58" w:rsidRPr="00B85131" w:rsidRDefault="00EC3C58" w:rsidP="00EC3C58">
            <w:pPr>
              <w:shd w:val="clear" w:color="auto" w:fill="FFFFFF" w:themeFill="background1"/>
              <w:spacing w:after="120"/>
              <w:ind w:right="6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131">
              <w:rPr>
                <w:rFonts w:ascii="Times New Roman" w:hAnsi="Times New Roman" w:cs="Times New Roman"/>
                <w:sz w:val="26"/>
                <w:szCs w:val="26"/>
              </w:rPr>
              <w:t>gói</w:t>
            </w:r>
            <w:proofErr w:type="spellEnd"/>
          </w:p>
        </w:tc>
      </w:tr>
    </w:tbl>
    <w:p w:rsidR="00EC3C58" w:rsidRPr="00B85131" w:rsidRDefault="00EC3C58" w:rsidP="00EC3C58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3C58" w:rsidRPr="00B85131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BẢO QUẢN VÀ ỔN ĐỊNH:</w:t>
      </w:r>
    </w:p>
    <w:p w:rsidR="00EC3C58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ở </w:t>
      </w:r>
      <w:r w:rsidRPr="00B85131">
        <w:rPr>
          <w:rFonts w:ascii="Times New Roman" w:hAnsi="Times New Roman" w:cs="Times New Roman"/>
          <w:sz w:val="26"/>
          <w:szCs w:val="26"/>
          <w:lang w:val="en-AU"/>
        </w:rPr>
        <w:t>2-8ºC</w:t>
      </w:r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>.</w:t>
      </w:r>
    </w:p>
    <w:p w:rsidR="00EC3C58" w:rsidRPr="00B85131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C58" w:rsidRPr="00B85131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t>MẪU XÉT NGHIỆM:</w:t>
      </w:r>
    </w:p>
    <w:p w:rsidR="00EC3C58" w:rsidRDefault="00A96F5B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="00580CDF" w:rsidRPr="00580CDF">
        <w:rPr>
          <w:rFonts w:ascii="Times New Roman" w:hAnsi="Times New Roman" w:cs="Times New Roman"/>
          <w:sz w:val="26"/>
          <w:szCs w:val="26"/>
        </w:rPr>
        <w:t>ẫu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lấ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chậm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ở 2-8ºC.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huyết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mỡ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CDF" w:rsidRPr="00580CD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80CDF" w:rsidRPr="00580CDF">
        <w:rPr>
          <w:rFonts w:ascii="Times New Roman" w:hAnsi="Times New Roman" w:cs="Times New Roman"/>
          <w:sz w:val="26"/>
          <w:szCs w:val="26"/>
        </w:rPr>
        <w:t>.</w:t>
      </w:r>
    </w:p>
    <w:p w:rsidR="00580CDF" w:rsidRPr="00B85131" w:rsidRDefault="00580CDF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THẬN TRỌNG: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Mang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đóng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băng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latex.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tan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đục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08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lầm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08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hỗn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lầm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Pr="00B85131" w:rsidRDefault="00EC3C58" w:rsidP="00EC3C58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 (1)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lắc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latex.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HBsAg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HIV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âm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08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Tuy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cẩn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thận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Default="00EC3C58" w:rsidP="00EC3C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131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latex,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giọt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>.</w:t>
      </w:r>
    </w:p>
    <w:p w:rsidR="00EC3C58" w:rsidRPr="00B85131" w:rsidRDefault="00EC3C58" w:rsidP="00EC3C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C58" w:rsidRPr="00B85131" w:rsidRDefault="00EC3C58" w:rsidP="00EC3C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131">
        <w:rPr>
          <w:rFonts w:ascii="Times New Roman" w:hAnsi="Times New Roman" w:cs="Times New Roman"/>
          <w:b/>
          <w:sz w:val="26"/>
          <w:szCs w:val="26"/>
        </w:rPr>
        <w:t xml:space="preserve">QUY TRÌNH 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(A) XÉT NGHIỆM ĐỊNH TÍNH (XÉT NGHIỆM SÀNG LỌC):</w:t>
      </w:r>
    </w:p>
    <w:p w:rsidR="00553DFD" w:rsidRPr="00553DFD" w:rsidRDefault="00553DFD" w:rsidP="00553DF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</w:p>
    <w:p w:rsidR="00553DFD" w:rsidRPr="00553DFD" w:rsidRDefault="00553DFD" w:rsidP="00553DF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Lắc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lọ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CRP Latex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nhẹ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nhàng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3DFD" w:rsidRPr="00553DFD" w:rsidRDefault="00553DFD" w:rsidP="00553DF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phiến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3DFD" w:rsidRPr="00553DFD" w:rsidRDefault="00553DFD" w:rsidP="00553DF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25µl</w:t>
      </w:r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phiến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3DFD" w:rsidRPr="00553DFD" w:rsidRDefault="00553DFD" w:rsidP="00553DF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Trộn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latex.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ống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nhỉ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giọt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hỗn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latex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Trải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khuấy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Pr="00553DFD" w:rsidRDefault="00553DFD" w:rsidP="00553DF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4881A" wp14:editId="11C61767">
                <wp:simplePos x="0" y="0"/>
                <wp:positionH relativeFrom="column">
                  <wp:posOffset>209550</wp:posOffset>
                </wp:positionH>
                <wp:positionV relativeFrom="paragraph">
                  <wp:posOffset>466725</wp:posOffset>
                </wp:positionV>
                <wp:extent cx="3781425" cy="1228725"/>
                <wp:effectExtent l="0" t="0" r="28575" b="285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2287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C58" w:rsidRPr="00553DFD" w:rsidRDefault="00553DFD" w:rsidP="00553DF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553DFD">
                              <w:rPr>
                                <w:sz w:val="24"/>
                              </w:rPr>
                              <w:t>QUY TRÌNH TỔNG QUÁT</w:t>
                            </w:r>
                          </w:p>
                          <w:p w:rsidR="00553DFD" w:rsidRPr="00553DFD" w:rsidRDefault="00553DFD" w:rsidP="00553DFD">
                            <w:pPr>
                              <w:spacing w:after="0" w:line="240" w:lineRule="auto"/>
                              <w:jc w:val="center"/>
                            </w:pPr>
                            <w:r w:rsidRPr="00553DFD">
                              <w:t xml:space="preserve">25µl </w:t>
                            </w:r>
                            <w:proofErr w:type="spellStart"/>
                            <w:r w:rsidRPr="00553DFD">
                              <w:t>mẫu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xét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nghiệm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hoặc</w:t>
                            </w:r>
                            <w:proofErr w:type="spellEnd"/>
                            <w:r w:rsidRPr="00553DFD">
                              <w:t xml:space="preserve"> dung </w:t>
                            </w:r>
                            <w:proofErr w:type="spellStart"/>
                            <w:r w:rsidRPr="00553DFD">
                              <w:t>dị</w:t>
                            </w:r>
                            <w:r w:rsidRPr="00553DFD">
                              <w:t>ch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</w:p>
                          <w:p w:rsidR="00553DFD" w:rsidRPr="00553DFD" w:rsidRDefault="00553DFD" w:rsidP="00553DFD">
                            <w:pPr>
                              <w:spacing w:after="0" w:line="240" w:lineRule="auto"/>
                              <w:jc w:val="center"/>
                            </w:pPr>
                            <w:r w:rsidRPr="00553DFD">
                              <w:t>+</w:t>
                            </w:r>
                          </w:p>
                          <w:p w:rsidR="00553DFD" w:rsidRPr="00553DFD" w:rsidRDefault="00553DFD" w:rsidP="00553DFD">
                            <w:pPr>
                              <w:spacing w:after="0" w:line="240" w:lineRule="auto"/>
                              <w:jc w:val="center"/>
                            </w:pPr>
                            <w:r w:rsidRPr="00553DFD">
                              <w:t xml:space="preserve">25µl Dung </w:t>
                            </w:r>
                            <w:proofErr w:type="spellStart"/>
                            <w:r w:rsidRPr="00553DFD">
                              <w:t>dịch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thuốc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thử</w:t>
                            </w:r>
                            <w:proofErr w:type="spellEnd"/>
                            <w:r w:rsidRPr="00553DFD">
                              <w:t xml:space="preserve"> CRP Latex</w:t>
                            </w:r>
                          </w:p>
                          <w:p w:rsidR="00553DFD" w:rsidRPr="00553DFD" w:rsidRDefault="00553DFD" w:rsidP="00553DFD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553DFD">
                              <w:t>Trộn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đều</w:t>
                            </w:r>
                            <w:proofErr w:type="spellEnd"/>
                          </w:p>
                          <w:p w:rsidR="00553DFD" w:rsidRPr="00553DFD" w:rsidRDefault="00553DFD" w:rsidP="00553DFD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 w:rsidRPr="00553DFD">
                              <w:t>Nghiêng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nhẹ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phiến</w:t>
                            </w:r>
                            <w:proofErr w:type="spellEnd"/>
                            <w:r w:rsidRPr="00553DFD">
                              <w:t xml:space="preserve">; </w:t>
                            </w:r>
                            <w:proofErr w:type="spellStart"/>
                            <w:r w:rsidRPr="00553DFD">
                              <w:t>quan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sát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sự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ngưng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kết</w:t>
                            </w:r>
                            <w:proofErr w:type="spellEnd"/>
                            <w:r w:rsidRPr="00553DFD">
                              <w:t xml:space="preserve"> </w:t>
                            </w:r>
                            <w:proofErr w:type="spellStart"/>
                            <w:r w:rsidRPr="00553DFD">
                              <w:t>trong</w:t>
                            </w:r>
                            <w:proofErr w:type="spellEnd"/>
                            <w:r w:rsidRPr="00553DFD">
                              <w:t xml:space="preserve"> 2 </w:t>
                            </w:r>
                            <w:proofErr w:type="spellStart"/>
                            <w:r w:rsidRPr="00553DFD">
                              <w:t>phút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4881A" id="Rectangle 1" o:spid="_x0000_s1026" style="position:absolute;left:0;text-align:left;margin-left:16.5pt;margin-top:36.75pt;width:297.7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" fillcolor="white [3201]" strokecolor="black [3200]" strokeweight="1.5pt">
                <v:textbox>
                  <w:txbxContent>
                    <w:p w:rsidR="00EC3C58" w:rsidRPr="00553DFD" w:rsidRDefault="00553DFD" w:rsidP="00553DFD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553DFD">
                        <w:rPr>
                          <w:sz w:val="24"/>
                        </w:rPr>
                        <w:t>QUY TRÌNH TỔNG QUÁT</w:t>
                      </w:r>
                    </w:p>
                    <w:p w:rsidR="00553DFD" w:rsidRPr="00553DFD" w:rsidRDefault="00553DFD" w:rsidP="00553DFD">
                      <w:pPr>
                        <w:spacing w:after="0" w:line="240" w:lineRule="auto"/>
                        <w:jc w:val="center"/>
                      </w:pPr>
                      <w:r w:rsidRPr="00553DFD">
                        <w:t xml:space="preserve">25µl </w:t>
                      </w:r>
                      <w:proofErr w:type="spellStart"/>
                      <w:r w:rsidRPr="00553DFD">
                        <w:t>mẫu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xét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nghiệm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hoặc</w:t>
                      </w:r>
                      <w:proofErr w:type="spellEnd"/>
                      <w:r w:rsidRPr="00553DFD">
                        <w:t xml:space="preserve"> dung </w:t>
                      </w:r>
                      <w:proofErr w:type="spellStart"/>
                      <w:r w:rsidRPr="00553DFD">
                        <w:t>dị</w:t>
                      </w:r>
                      <w:r w:rsidRPr="00553DFD">
                        <w:t>ch</w:t>
                      </w:r>
                      <w:proofErr w:type="spellEnd"/>
                      <w:r w:rsidRPr="00553DFD">
                        <w:t xml:space="preserve"> </w:t>
                      </w:r>
                    </w:p>
                    <w:p w:rsidR="00553DFD" w:rsidRPr="00553DFD" w:rsidRDefault="00553DFD" w:rsidP="00553DFD">
                      <w:pPr>
                        <w:spacing w:after="0" w:line="240" w:lineRule="auto"/>
                        <w:jc w:val="center"/>
                      </w:pPr>
                      <w:r w:rsidRPr="00553DFD">
                        <w:t>+</w:t>
                      </w:r>
                    </w:p>
                    <w:p w:rsidR="00553DFD" w:rsidRPr="00553DFD" w:rsidRDefault="00553DFD" w:rsidP="00553DFD">
                      <w:pPr>
                        <w:spacing w:after="0" w:line="240" w:lineRule="auto"/>
                        <w:jc w:val="center"/>
                      </w:pPr>
                      <w:r w:rsidRPr="00553DFD">
                        <w:t xml:space="preserve">25µl Dung </w:t>
                      </w:r>
                      <w:proofErr w:type="spellStart"/>
                      <w:r w:rsidRPr="00553DFD">
                        <w:t>dịch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thuốc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thử</w:t>
                      </w:r>
                      <w:proofErr w:type="spellEnd"/>
                      <w:r w:rsidRPr="00553DFD">
                        <w:t xml:space="preserve"> CRP Latex</w:t>
                      </w:r>
                    </w:p>
                    <w:p w:rsidR="00553DFD" w:rsidRPr="00553DFD" w:rsidRDefault="00553DFD" w:rsidP="00553DFD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553DFD">
                        <w:t>Trộn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đều</w:t>
                      </w:r>
                      <w:proofErr w:type="spellEnd"/>
                    </w:p>
                    <w:p w:rsidR="00553DFD" w:rsidRPr="00553DFD" w:rsidRDefault="00553DFD" w:rsidP="00553DFD">
                      <w:pPr>
                        <w:spacing w:after="0" w:line="240" w:lineRule="auto"/>
                        <w:jc w:val="center"/>
                      </w:pPr>
                      <w:proofErr w:type="spellStart"/>
                      <w:r w:rsidRPr="00553DFD">
                        <w:t>Nghiêng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nhẹ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phiến</w:t>
                      </w:r>
                      <w:proofErr w:type="spellEnd"/>
                      <w:r w:rsidRPr="00553DFD">
                        <w:t xml:space="preserve">; </w:t>
                      </w:r>
                      <w:proofErr w:type="spellStart"/>
                      <w:r w:rsidRPr="00553DFD">
                        <w:t>quan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sát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sự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ngưng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kết</w:t>
                      </w:r>
                      <w:proofErr w:type="spellEnd"/>
                      <w:r w:rsidRPr="00553DFD">
                        <w:t xml:space="preserve"> </w:t>
                      </w:r>
                      <w:proofErr w:type="spellStart"/>
                      <w:r w:rsidRPr="00553DFD">
                        <w:t>trong</w:t>
                      </w:r>
                      <w:proofErr w:type="spellEnd"/>
                      <w:r w:rsidRPr="00553DFD">
                        <w:t xml:space="preserve"> 2 </w:t>
                      </w:r>
                      <w:proofErr w:type="spellStart"/>
                      <w:r w:rsidRPr="00553DFD">
                        <w:t>phút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Nghiêng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nhàng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phiến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quay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553D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 rpm.</w:t>
      </w:r>
    </w:p>
    <w:p w:rsidR="00EC3C58" w:rsidRPr="004F08C3" w:rsidRDefault="00EC3C58" w:rsidP="00EC3C58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(B)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 NGHIỆM BÁN ĐỊNH LƯỢNG: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2, 1: 4, 1: 8, 1:16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1:32, 1:64</w:t>
      </w: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</w:p>
    <w:p w:rsidR="00EC3C58" w:rsidRPr="00B85131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giọt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ống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nhỏ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giọt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nhựa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tròn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dấu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phiến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sàng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lọc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(A.)</w:t>
      </w:r>
    </w:p>
    <w:p w:rsidR="00EC3C58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 THÍCH KẾT QUẢ: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vòng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CRP</w:t>
      </w: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F08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CRP</w:t>
      </w: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nhạy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CRP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mg/dl</w:t>
      </w: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D x S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 =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</w:p>
    <w:p w:rsidR="00EC3C58" w:rsidRPr="00B85131" w:rsidRDefault="00EC3C58" w:rsidP="00EC3C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5131">
        <w:rPr>
          <w:rFonts w:ascii="Times New Roman" w:hAnsi="Times New Roman" w:cs="Times New Roman"/>
          <w:sz w:val="26"/>
          <w:szCs w:val="26"/>
        </w:rPr>
        <w:t xml:space="preserve">S =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nhạy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851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5131"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0.6</w:t>
      </w:r>
      <w:r w:rsidRPr="00EC3C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mg/dl</w:t>
      </w:r>
      <w:r w:rsidRPr="00B85131">
        <w:rPr>
          <w:rFonts w:ascii="Times New Roman" w:hAnsi="Times New Roman" w:cs="Times New Roman"/>
          <w:sz w:val="26"/>
          <w:szCs w:val="26"/>
        </w:rPr>
        <w:t>.</w:t>
      </w:r>
      <w:r w:rsidRPr="00B85131">
        <w:rPr>
          <w:rFonts w:ascii="Times New Roman" w:hAnsi="Times New Roman" w:cs="Times New Roman"/>
          <w:sz w:val="26"/>
          <w:szCs w:val="26"/>
        </w:rPr>
        <w:tab/>
      </w:r>
    </w:p>
    <w:p w:rsidR="00EC3C58" w:rsidRDefault="00EC3C58" w:rsidP="00EC3C5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3C58" w:rsidRPr="00B85131" w:rsidRDefault="00EC3C58" w:rsidP="00EC3C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5131">
        <w:rPr>
          <w:rFonts w:ascii="Times New Roman" w:hAnsi="Times New Roman" w:cs="Times New Roman"/>
          <w:b/>
          <w:sz w:val="26"/>
          <w:szCs w:val="26"/>
        </w:rPr>
        <w:lastRenderedPageBreak/>
        <w:t>ĐỘ NHẠ</w:t>
      </w:r>
      <w:r>
        <w:rPr>
          <w:rFonts w:ascii="Times New Roman" w:hAnsi="Times New Roman" w:cs="Times New Roman"/>
          <w:b/>
          <w:sz w:val="26"/>
          <w:szCs w:val="26"/>
        </w:rPr>
        <w:t>Y</w:t>
      </w:r>
      <w:r w:rsidRPr="00B85131">
        <w:rPr>
          <w:rFonts w:ascii="Times New Roman" w:hAnsi="Times New Roman" w:cs="Times New Roman"/>
          <w:b/>
          <w:sz w:val="26"/>
          <w:szCs w:val="26"/>
        </w:rPr>
        <w:t>: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nhạy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0.6</w:t>
      </w:r>
      <w:r w:rsidRPr="00EC3C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mg/dl</w:t>
      </w:r>
      <w:r w:rsidRPr="00B85131">
        <w:rPr>
          <w:rFonts w:ascii="Times New Roman" w:hAnsi="Times New Roman" w:cs="Times New Roman"/>
          <w:sz w:val="26"/>
          <w:szCs w:val="26"/>
        </w:rPr>
        <w:t>.</w:t>
      </w:r>
    </w:p>
    <w:p w:rsidR="00EC3C58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THỨC KIỂM SOÁT CHẤT LƯỢNG:</w:t>
      </w:r>
    </w:p>
    <w:p w:rsidR="00EC3C58" w:rsidRPr="004F08C3" w:rsidRDefault="00EC3C58" w:rsidP="00EC3C58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Pr="004F08C3" w:rsidRDefault="00EC3C58" w:rsidP="00EC3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5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</w:p>
    <w:p w:rsidR="00EC3C58" w:rsidRPr="00B85131" w:rsidRDefault="00EC3C58" w:rsidP="00EC3C5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sẵn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sàng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&amp;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loãng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Pr="00B85131" w:rsidRDefault="00EC3C58" w:rsidP="00EC3C5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Trộn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sấy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Pr="00B85131" w:rsidRDefault="00EC3C58" w:rsidP="00EC3C5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nhiễm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bẩn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lâu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dương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3C58" w:rsidRDefault="00EC3C58" w:rsidP="00EC3C5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chẩn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đoán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chẩn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đoán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lâm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sàng</w:t>
      </w:r>
      <w:proofErr w:type="spellEnd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5131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</w:p>
    <w:p w:rsidR="00EC3C58" w:rsidRPr="00A96F5B" w:rsidRDefault="00A96F5B" w:rsidP="00A96F5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Nồng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CRP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6F5B">
        <w:rPr>
          <w:rFonts w:ascii="Times New Roman" w:eastAsia="Times New Roman" w:hAnsi="Times New Roman" w:cs="Times New Roman"/>
          <w:color w:val="000000"/>
          <w:sz w:val="26"/>
          <w:szCs w:val="26"/>
        </w:rPr>
        <w:t>thai.</w:t>
      </w:r>
      <w:proofErr w:type="spellEnd"/>
    </w:p>
    <w:p w:rsidR="00EC3C58" w:rsidRPr="004F08C3" w:rsidRDefault="00EC3C58" w:rsidP="00EC3C58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C58" w:rsidRPr="004F08C3" w:rsidRDefault="00EC3C58" w:rsidP="00EC3C58">
      <w:pPr>
        <w:shd w:val="clear" w:color="auto" w:fill="FFFFFF" w:themeFill="background1"/>
        <w:spacing w:after="120"/>
        <w:ind w:right="-2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3C58" w:rsidRPr="00B85131" w:rsidRDefault="00EC3C58" w:rsidP="00EC3C58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EC3C58" w:rsidRPr="00B85131" w:rsidRDefault="00EC3C58" w:rsidP="00EC3C58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5E0F92" w:rsidRDefault="005E0F92"/>
    <w:sectPr w:rsidR="005E0F92" w:rsidSect="00D03CF5"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069C"/>
    <w:multiLevelType w:val="hybridMultilevel"/>
    <w:tmpl w:val="470E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D6AE8"/>
    <w:multiLevelType w:val="hybridMultilevel"/>
    <w:tmpl w:val="2EAE5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58"/>
    <w:rsid w:val="001337FA"/>
    <w:rsid w:val="00553DFD"/>
    <w:rsid w:val="00580CDF"/>
    <w:rsid w:val="005E0F92"/>
    <w:rsid w:val="00A96F5B"/>
    <w:rsid w:val="00E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EC5F"/>
  <w15:chartTrackingRefBased/>
  <w15:docId w15:val="{F832D093-4FB3-4DCC-80FB-9361EB9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2020-01-11T04:43:00Z</dcterms:created>
  <dcterms:modified xsi:type="dcterms:W3CDTF">2020-01-11T05:20:00Z</dcterms:modified>
</cp:coreProperties>
</file>